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CB14" w14:textId="3A387B20" w:rsidR="0011556A" w:rsidRDefault="6EB39354" w:rsidP="74EA094F">
      <w:pPr>
        <w:spacing w:after="200"/>
        <w:rPr>
          <w:rFonts w:ascii="Aptos" w:eastAsia="Aptos" w:hAnsi="Aptos" w:cs="Aptos"/>
          <w:color w:val="000000" w:themeColor="text1"/>
          <w:sz w:val="26"/>
          <w:szCs w:val="26"/>
        </w:rPr>
      </w:pPr>
      <w:r w:rsidRPr="74EA094F">
        <w:rPr>
          <w:rFonts w:ascii="Aptos" w:eastAsia="Aptos" w:hAnsi="Aptos" w:cs="Aptos"/>
          <w:b/>
          <w:bCs/>
          <w:color w:val="000000" w:themeColor="text1"/>
          <w:sz w:val="26"/>
          <w:szCs w:val="26"/>
          <w:lang w:val="nl-BE"/>
        </w:rPr>
        <w:t>Het Antwerps stadhuis: startpunt voor een archeologische reis</w:t>
      </w:r>
    </w:p>
    <w:p w14:paraId="463C2736" w14:textId="749038EE" w:rsidR="0011556A" w:rsidRDefault="6EB39354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</w:rPr>
      </w:pP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Als hét icoon van de invloed van de renaissancebouwkunst, vormt het Antwerps stadhuis de uitgelezen plek voor een verhaal van vele eeuwen en een reis naar de 16de-eeuwse metropool Antwerpen. </w:t>
      </w:r>
    </w:p>
    <w:p w14:paraId="44099510" w14:textId="16F78C8F" w:rsidR="0011556A" w:rsidRDefault="6EB39354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</w:rPr>
      </w:pP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Tijdens de renovatie van het gebouw kregen de stadsarcheologen de kans er onderzoek uit te voeren, en daarbij stootten ze onder de keldervloeren op resten van de </w:t>
      </w:r>
      <w:r w:rsidRPr="74EA094F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Gallo-Romeinse nederzetting.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Uit deze en eerdere opgravingen blijkt dat die zich uitstrekte over een areaal dat 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groter was dan de middeleeuwse stadskern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, en een 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hoogtepunt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kende in de 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2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vertAlign w:val="superscript"/>
          <w:lang w:val="nl-BE"/>
        </w:rPr>
        <w:t>de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 xml:space="preserve"> en 3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vertAlign w:val="superscript"/>
          <w:lang w:val="nl-BE"/>
        </w:rPr>
        <w:t>de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 xml:space="preserve"> eeuw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. </w:t>
      </w:r>
    </w:p>
    <w:p w14:paraId="3159830C" w14:textId="6465AF0C" w:rsidR="0011556A" w:rsidRDefault="6EB39354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</w:rPr>
      </w:pP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De </w:t>
      </w:r>
      <w:r w:rsidRPr="74EA094F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middeleeuwse stad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, ontstaan uit een versterkte handelsplaats nabij de samenvloeiing van Schelde en Schijn, groeit doorheen de tijd uit tot een </w:t>
      </w:r>
      <w:r w:rsidRPr="74EA094F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metropool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. Antwerpen profileert zich in de loop van de 16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vertAlign w:val="superscript"/>
          <w:lang w:val="nl-BE"/>
        </w:rPr>
        <w:t>de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eeuw, haar </w:t>
      </w:r>
      <w:r w:rsidRPr="74EA094F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Gouden Eeuw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, als </w:t>
      </w:r>
      <w:r w:rsidRPr="008D38BE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commercieel en cultureel centrum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. Op haar hoogtepunt telt de havenstad meer dan 100.000 inwoners, waaronder tal van buitenlandse handelaren, investeerders en ambachtslui. Dat economische hoogtij laat zich ook ontdekken in de Antwerpse bodem: luxueus aardewerk en glas, ledervondsten, kledingaccessoires, enz.</w:t>
      </w:r>
    </w:p>
    <w:p w14:paraId="669FE085" w14:textId="3271FCDB" w:rsidR="0011556A" w:rsidRDefault="6EB39354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</w:rPr>
      </w:pP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Rond het midden van de 16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vertAlign w:val="superscript"/>
          <w:lang w:val="nl-BE"/>
        </w:rPr>
        <w:t>de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eeuw, in de periode dat ook het nieuwe stadhuis op de Grote Markt verschijnt, krijgt Antwerpen een </w:t>
      </w:r>
      <w:r w:rsidRPr="74EA094F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nl-BE"/>
        </w:rPr>
        <w:t>gloednieuwe, moderne stadsomwalling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met 9 bastions, 5 poorten en een brede gracht. Die nieuwe omwalling in Venetiaanse renaissancestijl vormt een ware blikvanger op de kaart van </w:t>
      </w:r>
      <w:proofErr w:type="spellStart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Virgilius</w:t>
      </w:r>
      <w:proofErr w:type="spellEnd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</w:t>
      </w:r>
      <w:proofErr w:type="spellStart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Bononiensis</w:t>
      </w:r>
      <w:proofErr w:type="spellEnd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. De grootsheid van de stad in het midden van de 16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vertAlign w:val="superscript"/>
          <w:lang w:val="nl-BE"/>
        </w:rPr>
        <w:t>de</w:t>
      </w: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eeuw weerspiegelt zich in de monumentale resten van deze versterking, die als openluchtsite in het publieke domein werden geïntegreerd.</w:t>
      </w:r>
    </w:p>
    <w:p w14:paraId="06BAD95E" w14:textId="79C5ECCA" w:rsidR="0011556A" w:rsidRDefault="0011556A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  <w:lang w:val="nl-BE"/>
        </w:rPr>
      </w:pPr>
    </w:p>
    <w:p w14:paraId="0349FF4D" w14:textId="7BDF372B" w:rsidR="0011556A" w:rsidRDefault="6EB39354" w:rsidP="74EA094F">
      <w:pPr>
        <w:spacing w:after="200"/>
        <w:rPr>
          <w:rFonts w:ascii="Aptos" w:eastAsia="Aptos" w:hAnsi="Aptos" w:cs="Aptos"/>
          <w:b/>
          <w:bCs/>
          <w:color w:val="000000" w:themeColor="text1"/>
          <w:sz w:val="26"/>
          <w:szCs w:val="26"/>
        </w:rPr>
      </w:pPr>
      <w:r w:rsidRPr="74EA094F">
        <w:rPr>
          <w:rFonts w:ascii="Aptos" w:eastAsia="Aptos" w:hAnsi="Aptos" w:cs="Aptos"/>
          <w:b/>
          <w:bCs/>
          <w:color w:val="000000" w:themeColor="text1"/>
          <w:sz w:val="26"/>
          <w:szCs w:val="26"/>
          <w:lang w:val="nl-BE"/>
        </w:rPr>
        <w:t xml:space="preserve">Achtergrondinfo over kaart </w:t>
      </w:r>
      <w:proofErr w:type="spellStart"/>
      <w:r w:rsidRPr="74EA094F">
        <w:rPr>
          <w:rFonts w:ascii="Aptos" w:eastAsia="Aptos" w:hAnsi="Aptos" w:cs="Aptos"/>
          <w:b/>
          <w:bCs/>
          <w:color w:val="000000" w:themeColor="text1"/>
          <w:sz w:val="26"/>
          <w:szCs w:val="26"/>
          <w:lang w:val="nl-BE"/>
        </w:rPr>
        <w:t>Urbs</w:t>
      </w:r>
      <w:proofErr w:type="spellEnd"/>
      <w:r w:rsidRPr="74EA094F">
        <w:rPr>
          <w:rFonts w:ascii="Aptos" w:eastAsia="Aptos" w:hAnsi="Aptos" w:cs="Aptos"/>
          <w:b/>
          <w:bCs/>
          <w:color w:val="000000" w:themeColor="text1"/>
          <w:sz w:val="26"/>
          <w:szCs w:val="26"/>
          <w:lang w:val="nl-BE"/>
        </w:rPr>
        <w:t xml:space="preserve"> </w:t>
      </w:r>
      <w:proofErr w:type="spellStart"/>
      <w:r w:rsidRPr="74EA094F">
        <w:rPr>
          <w:rFonts w:ascii="Aptos" w:eastAsia="Aptos" w:hAnsi="Aptos" w:cs="Aptos"/>
          <w:b/>
          <w:bCs/>
          <w:color w:val="000000" w:themeColor="text1"/>
          <w:sz w:val="26"/>
          <w:szCs w:val="26"/>
          <w:lang w:val="nl-BE"/>
        </w:rPr>
        <w:t>Antverpia</w:t>
      </w:r>
      <w:proofErr w:type="spellEnd"/>
    </w:p>
    <w:p w14:paraId="0F6D98DC" w14:textId="1DC7DF98" w:rsidR="0011556A" w:rsidRDefault="6EB39354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</w:rPr>
      </w:pPr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De omvangrijke kaart, gedrukt door de Gillis Coppens van Diest en voorzien van een bijschrift door Cornelis </w:t>
      </w:r>
      <w:proofErr w:type="spellStart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Grapheus</w:t>
      </w:r>
      <w:proofErr w:type="spellEnd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, blijft bewaard in het Museum </w:t>
      </w:r>
      <w:proofErr w:type="spellStart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Plantin-Moretus</w:t>
      </w:r>
      <w:proofErr w:type="spellEnd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(UNESCO Werelderfgoed). De Erfgoedbibliotheek Hendrik </w:t>
      </w:r>
      <w:proofErr w:type="spellStart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>Conscience</w:t>
      </w:r>
      <w:proofErr w:type="spellEnd"/>
      <w:r w:rsidRPr="74EA094F">
        <w:rPr>
          <w:rFonts w:ascii="Aptos" w:eastAsia="Aptos" w:hAnsi="Aptos" w:cs="Aptos"/>
          <w:color w:val="000000" w:themeColor="text1"/>
          <w:sz w:val="22"/>
          <w:szCs w:val="22"/>
          <w:lang w:val="nl-BE"/>
        </w:rPr>
        <w:t xml:space="preserve"> bezit een bijgewerkte reproductie van de kaart.</w:t>
      </w:r>
    </w:p>
    <w:p w14:paraId="4D2F99B5" w14:textId="7E26BFB4" w:rsidR="0011556A" w:rsidRDefault="0011556A" w:rsidP="74EA094F">
      <w:pPr>
        <w:spacing w:after="20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B5CAEB5" w14:textId="652DEBB0" w:rsidR="0011556A" w:rsidRDefault="0011556A"/>
    <w:sectPr w:rsidR="0011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2C3957"/>
    <w:rsid w:val="0011556A"/>
    <w:rsid w:val="004E3E70"/>
    <w:rsid w:val="00750A5B"/>
    <w:rsid w:val="008D38BE"/>
    <w:rsid w:val="00C245EF"/>
    <w:rsid w:val="05771CEF"/>
    <w:rsid w:val="6EB39354"/>
    <w:rsid w:val="6F2C3957"/>
    <w:rsid w:val="74EA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3957"/>
  <w15:chartTrackingRefBased/>
  <w15:docId w15:val="{9B7A7683-29D8-4390-B291-F4B72EB1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Seyssens</dc:creator>
  <cp:keywords/>
  <dc:description/>
  <cp:lastModifiedBy>Ward Seyssens</cp:lastModifiedBy>
  <cp:revision>2</cp:revision>
  <dcterms:created xsi:type="dcterms:W3CDTF">2025-09-24T07:34:00Z</dcterms:created>
  <dcterms:modified xsi:type="dcterms:W3CDTF">2025-09-24T07:34:00Z</dcterms:modified>
</cp:coreProperties>
</file>